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Zum Abschluss des UC&amp;C Summit 2022 präsentiert Wildix neue zukunftsweisende Lösungen</w:t>
      </w:r>
    </w:p>
    <w:p w:rsidR="00000000" w:rsidDel="00000000" w:rsidP="00000000" w:rsidRDefault="00000000" w:rsidRPr="00000000" w14:paraId="00000003">
      <w:pPr>
        <w:spacing w:line="276" w:lineRule="auto"/>
        <w:jc w:val="center"/>
        <w:rPr>
          <w:rFonts w:ascii="Helvetica Neue" w:cs="Helvetica Neue" w:eastAsia="Helvetica Neue" w:hAnsi="Helvetica Neue"/>
          <w:i w:val="1"/>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Das UCC-Unternehmen, welches vor kurzem erstmals den Sprung in den Gartner® Magic Quadrant™ geschafft hat, blickt einem weiteren erfolgreichen Jahr entgegen und profitiert von steigender Bekanntheit des eigenen Brand sowie bestens positionierter Kommunikationstools</w:t>
          </w:r>
        </w:sdtContent>
      </w:sdt>
      <w:r w:rsidDel="00000000" w:rsidR="00000000" w:rsidRPr="00000000">
        <w:rPr>
          <w:rtl w:val="0"/>
        </w:rPr>
      </w:r>
    </w:p>
    <w:p w:rsidR="00000000" w:rsidDel="00000000" w:rsidP="00000000" w:rsidRDefault="00000000" w:rsidRPr="00000000" w14:paraId="00000004">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Tallinn (24. Januar 2022) –  </w:t>
      </w:r>
      <w:r w:rsidDel="00000000" w:rsidR="00000000" w:rsidRPr="00000000">
        <w:rPr>
          <w:rFonts w:ascii="Helvetica Neue" w:cs="Helvetica Neue" w:eastAsia="Helvetica Neue" w:hAnsi="Helvetica Neue"/>
          <w:sz w:val="24"/>
          <w:szCs w:val="24"/>
          <w:rtl w:val="0"/>
        </w:rPr>
        <w:t xml:space="preserve">Wildix, der Anbieter der erste vertriebsorientierte UCC-Lösung, beendete heute die </w:t>
      </w:r>
      <w:r w:rsidDel="00000000" w:rsidR="00000000" w:rsidRPr="00000000">
        <w:rPr>
          <w:rFonts w:ascii="Helvetica Neue" w:cs="Helvetica Neue" w:eastAsia="Helvetica Neue" w:hAnsi="Helvetica Neue"/>
          <w:b w:val="1"/>
          <w:sz w:val="24"/>
          <w:szCs w:val="24"/>
          <w:rtl w:val="0"/>
        </w:rPr>
        <w:t xml:space="preserve">4. Auflage des UC&amp;C Summits</w:t>
      </w:r>
      <w:r w:rsidDel="00000000" w:rsidR="00000000" w:rsidRPr="00000000">
        <w:rPr>
          <w:rFonts w:ascii="Helvetica Neue" w:cs="Helvetica Neue" w:eastAsia="Helvetica Neue" w:hAnsi="Helvetica Neue"/>
          <w:sz w:val="24"/>
          <w:szCs w:val="24"/>
          <w:rtl w:val="0"/>
        </w:rPr>
        <w:t xml:space="preserve">, eine Veranstaltung für Managed Service Provider, auf der alljährlich Marktentwicklungen und eigene Innovationen vorgestellt werden. Angesichts der anhaltenden COVID-19-Pandemie </w:t>
      </w:r>
      <w:r w:rsidDel="00000000" w:rsidR="00000000" w:rsidRPr="00000000">
        <w:rPr>
          <w:rFonts w:ascii="Helvetica Neue" w:cs="Helvetica Neue" w:eastAsia="Helvetica Neue" w:hAnsi="Helvetica Neue"/>
          <w:b w:val="1"/>
          <w:sz w:val="24"/>
          <w:szCs w:val="24"/>
          <w:rtl w:val="0"/>
        </w:rPr>
        <w:t xml:space="preserve">wurde die Veranstaltung zum zweiten Mal in Folge online abgehalten</w:t>
      </w:r>
      <w:r w:rsidDel="00000000" w:rsidR="00000000" w:rsidRPr="00000000">
        <w:rPr>
          <w:rFonts w:ascii="Helvetica Neue" w:cs="Helvetica Neue" w:eastAsia="Helvetica Neue" w:hAnsi="Helvetica Neue"/>
          <w:sz w:val="24"/>
          <w:szCs w:val="24"/>
          <w:rtl w:val="0"/>
        </w:rPr>
        <w:t xml:space="preserve"> und erreichte eine Rekordbeteiligung von mehr als </w:t>
      </w:r>
      <w:r w:rsidDel="00000000" w:rsidR="00000000" w:rsidRPr="00000000">
        <w:rPr>
          <w:rFonts w:ascii="Helvetica Neue" w:cs="Helvetica Neue" w:eastAsia="Helvetica Neue" w:hAnsi="Helvetica Neue"/>
          <w:b w:val="1"/>
          <w:sz w:val="24"/>
          <w:szCs w:val="24"/>
          <w:rtl w:val="0"/>
        </w:rPr>
        <w:t xml:space="preserve">1.100 Teilnehmern aus aller Welt</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0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Im Mittelpunkt dieses digitalen Events standen Vertreter der Wildix Unternehmensführung sowie hochkarätige Gastreferenten von </w:t>
      </w:r>
      <w:r w:rsidDel="00000000" w:rsidR="00000000" w:rsidRPr="00000000">
        <w:rPr>
          <w:rFonts w:ascii="Helvetica Neue" w:cs="Helvetica Neue" w:eastAsia="Helvetica Neue" w:hAnsi="Helvetica Neue"/>
          <w:b w:val="1"/>
          <w:sz w:val="24"/>
          <w:szCs w:val="24"/>
          <w:rtl w:val="0"/>
        </w:rPr>
        <w:t xml:space="preserve">Cavell Group, ValueSelling, LinkedIn, Salesforce und Gong.io</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09">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5731200" cy="3009900"/>
            <wp:effectExtent b="0" l="0" r="0" t="0"/>
            <wp:docPr id="1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Eingeleitet durch ein Zitat aus dem Futuristischen Manifest, war der UC&amp;C Summit ein deutliches Bekenntnis zur unkonventionellen Herangehensweise des Unternehmens in Bezug auf die UCC-Technologie und Vermarktungsstrategien. Die Referenten betonten jedoch auch, dass dieser Ansatz im heutigen Marktumfeld zunehmend auf Akzeptanz stößt. So ist</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 die Entscheidung, die eigene Lösungen exklusiv über zertifizierte Wildix-Partner zu vertreiben, durch die jüngst erfolgte Aufnahme von Wildix in den Gartner® Magic Quadrant™ im Bereich ‘Nischenanbieter’ honoriert worden.</w:t>
          </w:r>
        </w:sdtContent>
      </w:sdt>
    </w:p>
    <w:p w:rsidR="00000000" w:rsidDel="00000000" w:rsidP="00000000" w:rsidRDefault="00000000" w:rsidRPr="00000000" w14:paraId="0000000D">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Das ist großartig und beweist, dass wir auf dem richtigen Weg sind</w:t>
      </w:r>
      <w:r w:rsidDel="00000000" w:rsidR="00000000" w:rsidRPr="00000000">
        <w:rPr>
          <w:rFonts w:ascii="Helvetica Neue" w:cs="Helvetica Neue" w:eastAsia="Helvetica Neue" w:hAnsi="Helvetica Neue"/>
          <w:sz w:val="24"/>
          <w:szCs w:val="24"/>
          <w:rtl w:val="0"/>
        </w:rPr>
        <w:t xml:space="preserve">“, kommentierte Steve Osler, Mitbegründer und CEO von Wildix, diesen Erfolg. „Der Magic Quadrant wird von den wichtigsten potenziellen Kunden bei der Auswahl ihres nächsten Dienstanbieters genutzt. </w:t>
      </w:r>
      <w:r w:rsidDel="00000000" w:rsidR="00000000" w:rsidRPr="00000000">
        <w:rPr>
          <w:rFonts w:ascii="Helvetica Neue" w:cs="Helvetica Neue" w:eastAsia="Helvetica Neue" w:hAnsi="Helvetica Neue"/>
          <w:b w:val="1"/>
          <w:sz w:val="24"/>
          <w:szCs w:val="24"/>
          <w:rtl w:val="0"/>
        </w:rPr>
        <w:t xml:space="preserve">Diese Platzierung bedeutet, dass Sie jetzt eine monetarisierbare Marke haben, die offiziell zu den weltweit führenden UCaaS-Anbietern zählt.“</w:t>
      </w:r>
    </w:p>
    <w:p w:rsidR="00000000" w:rsidDel="00000000" w:rsidP="00000000" w:rsidRDefault="00000000" w:rsidRPr="00000000" w14:paraId="0000000F">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Weitere Redner betonten, dass der Wert der Marke Wildix enorm gestiegen sei – </w:t>
      </w:r>
      <w:r w:rsidDel="00000000" w:rsidR="00000000" w:rsidRPr="00000000">
        <w:rPr>
          <w:rFonts w:ascii="Helvetica Neue" w:cs="Helvetica Neue" w:eastAsia="Helvetica Neue" w:hAnsi="Helvetica Neue"/>
          <w:b w:val="1"/>
          <w:sz w:val="24"/>
          <w:szCs w:val="24"/>
          <w:rtl w:val="0"/>
        </w:rPr>
        <w:t xml:space="preserve">ein Grund mehr für die Wildix Partner, beim Verkauf der Lösung die Marke und die Marktpositionierung des Unternehmens für sich zu nutzen.</w:t>
      </w:r>
      <w:r w:rsidDel="00000000" w:rsidR="00000000" w:rsidRPr="00000000">
        <w:rPr>
          <w:rFonts w:ascii="Helvetica Neue" w:cs="Helvetica Neue" w:eastAsia="Helvetica Neue" w:hAnsi="Helvetica Neue"/>
          <w:sz w:val="24"/>
          <w:szCs w:val="24"/>
          <w:rtl w:val="0"/>
        </w:rPr>
        <w:t xml:space="preserve"> Ein solcher Vertriebsansatz sei umso wichtiger, als die Bedrohung durch „Vampire Vendors“ – bei Wildix die Bezeichnung für UC&amp;C-Marken, die nur mit lokalen MSPs zusammenarbeiten, um die Kontrolle über deren Kundenbeziehungen zu übernehmen – auf dem Markt zunimmt.</w:t>
      </w:r>
    </w:p>
    <w:p w:rsidR="00000000" w:rsidDel="00000000" w:rsidP="00000000" w:rsidRDefault="00000000" w:rsidRPr="00000000" w14:paraId="00000011">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 gibt immer noch Vampire Vendors, die Ihre Kunden an sich reißen, um dann Ihre lebenslange Arbeit zu Geld zu machen”, betont Alberto Benigno, CSO bei Wildix. „Zum Glück </w:t>
      </w:r>
      <w:r w:rsidDel="00000000" w:rsidR="00000000" w:rsidRPr="00000000">
        <w:rPr>
          <w:rFonts w:ascii="Helvetica Neue" w:cs="Helvetica Neue" w:eastAsia="Helvetica Neue" w:hAnsi="Helvetica Neue"/>
          <w:b w:val="1"/>
          <w:sz w:val="24"/>
          <w:szCs w:val="24"/>
          <w:rtl w:val="0"/>
        </w:rPr>
        <w:t xml:space="preserve">können Sie Ihr Schicksal mit der Aufnahme von Wildix in den Gartner Magic Quadrant jetzt selbst in die Hand nehmen</w:t>
      </w:r>
      <w:r w:rsidDel="00000000" w:rsidR="00000000" w:rsidRPr="00000000">
        <w:rPr>
          <w:rFonts w:ascii="Helvetica Neue" w:cs="Helvetica Neue" w:eastAsia="Helvetica Neue" w:hAnsi="Helvetica Neue"/>
          <w:sz w:val="24"/>
          <w:szCs w:val="24"/>
          <w:rtl w:val="0"/>
        </w:rPr>
        <w:t xml:space="preserve">. Diese Nennung macht Sie von einem Partner eines aufstrebenden Anbieters, wie es viele andere gibt, </w:t>
      </w:r>
      <w:r w:rsidDel="00000000" w:rsidR="00000000" w:rsidRPr="00000000">
        <w:rPr>
          <w:rFonts w:ascii="Helvetica Neue" w:cs="Helvetica Neue" w:eastAsia="Helvetica Neue" w:hAnsi="Helvetica Neue"/>
          <w:b w:val="1"/>
          <w:sz w:val="24"/>
          <w:szCs w:val="24"/>
          <w:rtl w:val="0"/>
        </w:rPr>
        <w:t xml:space="preserve">zum führenden europäischen Anbieter – von Gartner anerkannt</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3">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Auch wurden auf dem UC&amp;C Summit innovative neue Wildix-Lösungen vorgestellt, darunter die Kommunikationssysteme </w:t>
      </w:r>
      <w:r w:rsidDel="00000000" w:rsidR="00000000" w:rsidRPr="00000000">
        <w:rPr>
          <w:rFonts w:ascii="Helvetica Neue" w:cs="Helvetica Neue" w:eastAsia="Helvetica Neue" w:hAnsi="Helvetica Neue"/>
          <w:b w:val="1"/>
          <w:sz w:val="24"/>
          <w:szCs w:val="24"/>
          <w:rtl w:val="0"/>
        </w:rPr>
        <w:t xml:space="preserve">WMS 5 und das kommende WMS 6</w:t>
      </w:r>
      <w:r w:rsidDel="00000000" w:rsidR="00000000" w:rsidRPr="00000000">
        <w:rPr>
          <w:rFonts w:ascii="Helvetica Neue" w:cs="Helvetica Neue" w:eastAsia="Helvetica Neue" w:hAnsi="Helvetica Neue"/>
          <w:sz w:val="24"/>
          <w:szCs w:val="24"/>
          <w:rtl w:val="0"/>
        </w:rPr>
        <w:t xml:space="preserve">. Ebenfalls präsentiert wurde </w:t>
      </w:r>
      <w:r w:rsidDel="00000000" w:rsidR="00000000" w:rsidRPr="00000000">
        <w:rPr>
          <w:rFonts w:ascii="Helvetica Neue" w:cs="Helvetica Neue" w:eastAsia="Helvetica Neue" w:hAnsi="Helvetica Neue"/>
          <w:b w:val="1"/>
          <w:sz w:val="24"/>
          <w:szCs w:val="24"/>
          <w:rtl w:val="0"/>
        </w:rPr>
        <w:t xml:space="preserve">x-bees</w:t>
      </w:r>
      <w:r w:rsidDel="00000000" w:rsidR="00000000" w:rsidRPr="00000000">
        <w:rPr>
          <w:rFonts w:ascii="Helvetica Neue" w:cs="Helvetica Neue" w:eastAsia="Helvetica Neue" w:hAnsi="Helvetica Neue"/>
          <w:sz w:val="24"/>
          <w:szCs w:val="24"/>
          <w:rtl w:val="0"/>
        </w:rPr>
        <w:t xml:space="preserve">, die komplett browserbasierte Kommunikationslösung, welche auf die Vertriebssteigerung des Unternehmens fokussiert ist.</w:t>
      </w:r>
    </w:p>
    <w:p w:rsidR="00000000" w:rsidDel="00000000" w:rsidP="00000000" w:rsidRDefault="00000000" w:rsidRPr="00000000" w14:paraId="00000015">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Mit x-bees sind Kunden ihren Konkurrenten einen Schritt voraus und können alle Hindernisse aus dem Weg räumen, die sie bei ihrer eigentlichen Arbeit behindern: dem Geldverdienen</w:t>
      </w:r>
      <w:r w:rsidDel="00000000" w:rsidR="00000000" w:rsidRPr="00000000">
        <w:rPr>
          <w:rFonts w:ascii="Helvetica Neue" w:cs="Helvetica Neue" w:eastAsia="Helvetica Neue" w:hAnsi="Helvetica Neue"/>
          <w:sz w:val="24"/>
          <w:szCs w:val="24"/>
          <w:rtl w:val="0"/>
        </w:rPr>
        <w:t xml:space="preserve">“, so Dimitri Osler, Mitbegründer und CTO von Wildix. „Es reichte uns nicht aus, den Benutzern Zeit bei unrentablen Vorgängen zu sparen. </w:t>
      </w:r>
      <w:r w:rsidDel="00000000" w:rsidR="00000000" w:rsidRPr="00000000">
        <w:rPr>
          <w:rFonts w:ascii="Helvetica Neue" w:cs="Helvetica Neue" w:eastAsia="Helvetica Neue" w:hAnsi="Helvetica Neue"/>
          <w:b w:val="1"/>
          <w:sz w:val="24"/>
          <w:szCs w:val="24"/>
          <w:rtl w:val="0"/>
        </w:rPr>
        <w:t xml:space="preserve">Wir waren die Ersten, die einen riesigen Schritt nach vorn gemacht haben.</w:t>
      </w:r>
      <w:r w:rsidDel="00000000" w:rsidR="00000000" w:rsidRPr="00000000">
        <w:rPr>
          <w:rFonts w:ascii="Helvetica Neue" w:cs="Helvetica Neue" w:eastAsia="Helvetica Neue" w:hAnsi="Helvetica Neue"/>
          <w:sz w:val="24"/>
          <w:szCs w:val="24"/>
          <w:rtl w:val="0"/>
        </w:rPr>
        <w:t xml:space="preserve"> Neben all den Vorteilen von UC&amp;C haben wir diese Wunderwaffe mit den neuesten Technologien der Business Intelligence für den Vertrieb aufgerüstet.“</w:t>
      </w:r>
    </w:p>
    <w:p w:rsidR="00000000" w:rsidDel="00000000" w:rsidP="00000000" w:rsidRDefault="00000000" w:rsidRPr="00000000" w14:paraId="0000001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Zu diesen neuesten Technologien gehören </w:t>
      </w:r>
      <w:r w:rsidDel="00000000" w:rsidR="00000000" w:rsidRPr="00000000">
        <w:rPr>
          <w:rFonts w:ascii="Helvetica Neue" w:cs="Helvetica Neue" w:eastAsia="Helvetica Neue" w:hAnsi="Helvetica Neue"/>
          <w:b w:val="1"/>
          <w:sz w:val="24"/>
          <w:szCs w:val="24"/>
          <w:rtl w:val="0"/>
        </w:rPr>
        <w:t xml:space="preserve">erweiterte Funktionen für die Kundenkommunikation</w:t>
      </w:r>
      <w:r w:rsidDel="00000000" w:rsidR="00000000" w:rsidRPr="00000000">
        <w:rPr>
          <w:rFonts w:ascii="Helvetica Neue" w:cs="Helvetica Neue" w:eastAsia="Helvetica Neue" w:hAnsi="Helvetica Neue"/>
          <w:sz w:val="24"/>
          <w:szCs w:val="24"/>
          <w:rtl w:val="0"/>
        </w:rPr>
        <w:t xml:space="preserve">, z. B. die Rückverfolgung potenzieller Käufer und die KI-gestützte Analyse von Kundengesprächen. Um insbesondere diese beiden Punkte voranzutreiben, </w:t>
      </w:r>
      <w:r w:rsidDel="00000000" w:rsidR="00000000" w:rsidRPr="00000000">
        <w:rPr>
          <w:rFonts w:ascii="Helvetica Neue" w:cs="Helvetica Neue" w:eastAsia="Helvetica Neue" w:hAnsi="Helvetica Neue"/>
          <w:b w:val="1"/>
          <w:sz w:val="24"/>
          <w:szCs w:val="24"/>
          <w:rtl w:val="0"/>
        </w:rPr>
        <w:t xml:space="preserve">hat sich x-bees mit Salesforce und Gong.io zusammengetan</w:t>
      </w:r>
      <w:r w:rsidDel="00000000" w:rsidR="00000000" w:rsidRPr="00000000">
        <w:rPr>
          <w:rFonts w:ascii="Helvetica Neue" w:cs="Helvetica Neue" w:eastAsia="Helvetica Neue" w:hAnsi="Helvetica Neue"/>
          <w:sz w:val="24"/>
          <w:szCs w:val="24"/>
          <w:rtl w:val="0"/>
        </w:rPr>
        <w:t xml:space="preserve">. Vertreter beider Unternehmen sprachen auf dem UC&amp;C Summit und betonten den Nutzen ihrer Technologien für die neue Wildix-Lösung x-bees.</w:t>
      </w:r>
    </w:p>
    <w:p w:rsidR="00000000" w:rsidDel="00000000" w:rsidP="00000000" w:rsidRDefault="00000000" w:rsidRPr="00000000" w14:paraId="00000019">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Ebenfalls auf dem Summit angekündigt wurde </w:t>
      </w:r>
      <w:r w:rsidDel="00000000" w:rsidR="00000000" w:rsidRPr="00000000">
        <w:rPr>
          <w:rFonts w:ascii="Helvetica Neue" w:cs="Helvetica Neue" w:eastAsia="Helvetica Neue" w:hAnsi="Helvetica Neue"/>
          <w:b w:val="1"/>
          <w:sz w:val="24"/>
          <w:szCs w:val="24"/>
          <w:rtl w:val="0"/>
        </w:rPr>
        <w:t xml:space="preserve">x-hoppers, eine neue Wildix-Lösung, die speziell für das Einkaufen im Ladengeschäft entwickelt wurde</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B">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„Einzelhandelsgeschäfte sind für die einen das Paradies, für die anderen die Hölle. </w:t>
      </w:r>
      <w:r w:rsidDel="00000000" w:rsidR="00000000" w:rsidRPr="00000000">
        <w:rPr>
          <w:rFonts w:ascii="Helvetica Neue" w:cs="Helvetica Neue" w:eastAsia="Helvetica Neue" w:hAnsi="Helvetica Neue"/>
          <w:b w:val="1"/>
          <w:sz w:val="24"/>
          <w:szCs w:val="24"/>
          <w:rtl w:val="0"/>
        </w:rPr>
        <w:t xml:space="preserve">Oft liegt der Unterschied in der Beratung, die Sie erhalten oder nicht erhalten</w:t>
      </w:r>
      <w:r w:rsidDel="00000000" w:rsidR="00000000" w:rsidRPr="00000000">
        <w:rPr>
          <w:rFonts w:ascii="Helvetica Neue" w:cs="Helvetica Neue" w:eastAsia="Helvetica Neue" w:hAnsi="Helvetica Neue"/>
          <w:sz w:val="24"/>
          <w:szCs w:val="24"/>
          <w:rtl w:val="0"/>
        </w:rPr>
        <w:t xml:space="preserve">“, erklärte Emiliano Tomasoni, CMO bei Wildix. „Im Gegensatz zu anderen Kommunikationssystemen für den Einzelhandel besteht das Erfolgsrezept von x-hoppers nicht darin, die Zahl der Schritte im Geschäft zu verringern, </w:t>
      </w:r>
      <w:r w:rsidDel="00000000" w:rsidR="00000000" w:rsidRPr="00000000">
        <w:rPr>
          <w:rFonts w:ascii="Helvetica Neue" w:cs="Helvetica Neue" w:eastAsia="Helvetica Neue" w:hAnsi="Helvetica Neue"/>
          <w:b w:val="1"/>
          <w:sz w:val="24"/>
          <w:szCs w:val="24"/>
          <w:rtl w:val="0"/>
        </w:rPr>
        <w:t xml:space="preserve">sondern die Kundenbetreuung zu intensivieren und damit den Ladenumsatz zu verdoppeln</w:t>
      </w:r>
      <w:r w:rsidDel="00000000" w:rsidR="00000000" w:rsidRPr="00000000">
        <w:rPr>
          <w:rFonts w:ascii="Helvetica Neue" w:cs="Helvetica Neue" w:eastAsia="Helvetica Neue" w:hAnsi="Helvetica Neue"/>
          <w:sz w:val="24"/>
          <w:szCs w:val="24"/>
          <w:rtl w:val="0"/>
        </w:rPr>
        <w:t xml:space="preserve">. Das Leistungsversprechen von x-hoppers lässt sich auf ein Wort reduzieren: </w:t>
      </w:r>
      <w:r w:rsidDel="00000000" w:rsidR="00000000" w:rsidRPr="00000000">
        <w:rPr>
          <w:rFonts w:ascii="Helvetica Neue" w:cs="Helvetica Neue" w:eastAsia="Helvetica Neue" w:hAnsi="Helvetica Neue"/>
          <w:b w:val="1"/>
          <w:sz w:val="24"/>
          <w:szCs w:val="24"/>
          <w:rtl w:val="0"/>
        </w:rPr>
        <w:t xml:space="preserve">Umsatzsteigerung</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D">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x-hoppers setzt auf Wireless-Headsets und ein vernetztes, Cloud-basiertes Kommunikationssystem, das den Filialmitarbeitern einen gemeinsamen Sprachkanal zur Verfügung stellt, über den sie umgehend Unterstützung erhalten, Kollegen benachrichtigen oder sogar als Callcenter in der Filiale fungieren können. </w:t>
      </w:r>
      <w:r w:rsidDel="00000000" w:rsidR="00000000" w:rsidRPr="00000000">
        <w:rPr>
          <w:rFonts w:ascii="Helvetica Neue" w:cs="Helvetica Neue" w:eastAsia="Helvetica Neue" w:hAnsi="Helvetica Neue"/>
          <w:b w:val="1"/>
          <w:sz w:val="24"/>
          <w:szCs w:val="24"/>
          <w:rtl w:val="0"/>
        </w:rPr>
        <w:t xml:space="preserve">Das x-hoppers System unterstützt auch QR-Code-Rufstellen</w:t>
      </w:r>
      <w:r w:rsidDel="00000000" w:rsidR="00000000" w:rsidRPr="00000000">
        <w:rPr>
          <w:rFonts w:ascii="Helvetica Neue" w:cs="Helvetica Neue" w:eastAsia="Helvetica Neue" w:hAnsi="Helvetica Neue"/>
          <w:sz w:val="24"/>
          <w:szCs w:val="24"/>
          <w:rtl w:val="0"/>
        </w:rPr>
        <w:t xml:space="preserve">, mit denen der Verbraucher durch einfaches Scannen eines Produkts mit dem Smartphone eine persönliche Beratung anfordern kann.</w:t>
      </w:r>
    </w:p>
    <w:p w:rsidR="00000000" w:rsidDel="00000000" w:rsidP="00000000" w:rsidRDefault="00000000" w:rsidRPr="00000000" w14:paraId="0000001F">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Neben der Ankündigung neuer Produkte wurde beim Summit auch </w:t>
      </w:r>
      <w:r w:rsidDel="00000000" w:rsidR="00000000" w:rsidRPr="00000000">
        <w:rPr>
          <w:rFonts w:ascii="Helvetica Neue" w:cs="Helvetica Neue" w:eastAsia="Helvetica Neue" w:hAnsi="Helvetica Neue"/>
          <w:b w:val="1"/>
          <w:sz w:val="24"/>
          <w:szCs w:val="24"/>
          <w:rtl w:val="0"/>
        </w:rPr>
        <w:t xml:space="preserve">die besondere Vorgehensweise unterstrichen, die MSPs bei der Vermarktung und dem Verkauf der Wildix-Lösung verfolgen sollten</w:t>
      </w: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Unsere Marketingkampagnen sprechen nicht jeden an</w:t>
      </w:r>
      <w:r w:rsidDel="00000000" w:rsidR="00000000" w:rsidRPr="00000000">
        <w:rPr>
          <w:rFonts w:ascii="Helvetica Neue" w:cs="Helvetica Neue" w:eastAsia="Helvetica Neue" w:hAnsi="Helvetica Neue"/>
          <w:sz w:val="24"/>
          <w:szCs w:val="24"/>
          <w:rtl w:val="0"/>
        </w:rPr>
        <w:t xml:space="preserve">“, betonte Emiliano Tomasoni. „Marketing kann viel für Ihr Unternehmen bewirken, wenn Sie </w:t>
      </w:r>
      <w:r w:rsidDel="00000000" w:rsidR="00000000" w:rsidRPr="00000000">
        <w:rPr>
          <w:rFonts w:ascii="Helvetica Neue" w:cs="Helvetica Neue" w:eastAsia="Helvetica Neue" w:hAnsi="Helvetica Neue"/>
          <w:b w:val="1"/>
          <w:sz w:val="24"/>
          <w:szCs w:val="24"/>
          <w:rtl w:val="0"/>
        </w:rPr>
        <w:t xml:space="preserve">sich erst einmal positioniert und den Fokus eingegrenzt haben</w:t>
      </w:r>
      <w:r w:rsidDel="00000000" w:rsidR="00000000" w:rsidRPr="00000000">
        <w:rPr>
          <w:rFonts w:ascii="Helvetica Neue" w:cs="Helvetica Neue" w:eastAsia="Helvetica Neue" w:hAnsi="Helvetica Neue"/>
          <w:sz w:val="24"/>
          <w:szCs w:val="24"/>
          <w:rtl w:val="0"/>
        </w:rPr>
        <w:t xml:space="preserve">. Und kennen Sie eine der effektivsten Methoden, um den Fokus einzugrenzen? Vertikale Lösungen, auch bekannt als das Anbieten eines speziellen Produkts für einen speziellen Kunden.“</w:t>
      </w:r>
    </w:p>
    <w:p w:rsidR="00000000" w:rsidDel="00000000" w:rsidP="00000000" w:rsidRDefault="00000000" w:rsidRPr="00000000" w14:paraId="00000023">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Zum Abschluss des Gipfels wurden in einem eigenen Programmteil </w:t>
      </w:r>
      <w:r w:rsidDel="00000000" w:rsidR="00000000" w:rsidRPr="00000000">
        <w:rPr>
          <w:rFonts w:ascii="Helvetica Neue" w:cs="Helvetica Neue" w:eastAsia="Helvetica Neue" w:hAnsi="Helvetica Neue"/>
          <w:b w:val="1"/>
          <w:sz w:val="24"/>
          <w:szCs w:val="24"/>
          <w:rtl w:val="0"/>
        </w:rPr>
        <w:t xml:space="preserve">die zehn erfolgreichsten Wildix MSPs</w:t>
      </w:r>
      <w:r w:rsidDel="00000000" w:rsidR="00000000" w:rsidRPr="00000000">
        <w:rPr>
          <w:rFonts w:ascii="Helvetica Neue" w:cs="Helvetica Neue" w:eastAsia="Helvetica Neue" w:hAnsi="Helvetica Neue"/>
          <w:sz w:val="24"/>
          <w:szCs w:val="24"/>
          <w:rtl w:val="0"/>
        </w:rPr>
        <w:t xml:space="preserve"> des vierten Quartals 2021 und des gesamten vergangenen Jahres </w:t>
      </w:r>
      <w:r w:rsidDel="00000000" w:rsidR="00000000" w:rsidRPr="00000000">
        <w:rPr>
          <w:rFonts w:ascii="Helvetica Neue" w:cs="Helvetica Neue" w:eastAsia="Helvetica Neue" w:hAnsi="Helvetica Neue"/>
          <w:b w:val="1"/>
          <w:sz w:val="24"/>
          <w:szCs w:val="24"/>
          <w:rtl w:val="0"/>
        </w:rPr>
        <w:t xml:space="preserve">geehrt</w:t>
      </w:r>
      <w:r w:rsidDel="00000000" w:rsidR="00000000" w:rsidRPr="00000000">
        <w:rPr>
          <w:rFonts w:ascii="Helvetica Neue" w:cs="Helvetica Neue" w:eastAsia="Helvetica Neue" w:hAnsi="Helvetica Neue"/>
          <w:sz w:val="24"/>
          <w:szCs w:val="24"/>
          <w:rtl w:val="0"/>
        </w:rPr>
        <w:t xml:space="preserve">. Die </w:t>
      </w:r>
      <w:r w:rsidDel="00000000" w:rsidR="00000000" w:rsidRPr="00000000">
        <w:rPr>
          <w:rFonts w:ascii="Helvetica Neue" w:cs="Helvetica Neue" w:eastAsia="Helvetica Neue" w:hAnsi="Helvetica Neue"/>
          <w:b w:val="1"/>
          <w:sz w:val="24"/>
          <w:szCs w:val="24"/>
          <w:rtl w:val="0"/>
        </w:rPr>
        <w:t xml:space="preserve">Auszeichnungen waren mit Geldpreisen verbunden</w:t>
      </w:r>
      <w:r w:rsidDel="00000000" w:rsidR="00000000" w:rsidRPr="00000000">
        <w:rPr>
          <w:rFonts w:ascii="Helvetica Neue" w:cs="Helvetica Neue" w:eastAsia="Helvetica Neue" w:hAnsi="Helvetica Neue"/>
          <w:sz w:val="24"/>
          <w:szCs w:val="24"/>
          <w:rtl w:val="0"/>
        </w:rPr>
        <w:t xml:space="preserve">, mit denen Wildix das Wachstum und den Erfolg des Vertriebsnetzes honorierte.</w:t>
      </w:r>
    </w:p>
    <w:p w:rsidR="00000000" w:rsidDel="00000000" w:rsidP="00000000" w:rsidRDefault="00000000" w:rsidRPr="00000000" w14:paraId="00000025">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w:t>
      </w:r>
      <w:r w:rsidDel="00000000" w:rsidR="00000000" w:rsidRPr="00000000">
        <w:rPr>
          <w:rFonts w:ascii="Helvetica Neue" w:cs="Helvetica Neue" w:eastAsia="Helvetica Neue" w:hAnsi="Helvetica Neue"/>
          <w:b w:val="1"/>
          <w:sz w:val="24"/>
          <w:szCs w:val="24"/>
          <w:rtl w:val="0"/>
        </w:rPr>
        <w:t xml:space="preserve">Nun liegt es an Ihnen, zu entscheiden, ob Sie bereit sind, all dies zu nutzen und Ihre Gewinne zu steigern</w:t>
      </w:r>
      <w:r w:rsidDel="00000000" w:rsidR="00000000" w:rsidRPr="00000000">
        <w:rPr>
          <w:rFonts w:ascii="Helvetica Neue" w:cs="Helvetica Neue" w:eastAsia="Helvetica Neue" w:hAnsi="Helvetica Neue"/>
          <w:sz w:val="24"/>
          <w:szCs w:val="24"/>
          <w:rtl w:val="0"/>
        </w:rPr>
        <w:t xml:space="preserve">. Ich hoffe, Sie haben die Courage, Ihr Schicksal selbst in die Hand zu nehmen und Ihren Erfolg zu sichern“, so Steve Osler abschließend.</w:t>
      </w:r>
    </w:p>
    <w:p w:rsidR="00000000" w:rsidDel="00000000" w:rsidP="00000000" w:rsidRDefault="00000000" w:rsidRPr="00000000" w14:paraId="00000026">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rtl w:val="0"/>
        </w:rPr>
        <w:t xml:space="preserve">Mit diesem deutlichen Appell ermutigte Wildix alle MSPs, sich dem Wildix Ökosystem anzuschließen: </w:t>
      </w:r>
      <w:hyperlink r:id="rId8">
        <w:r w:rsidDel="00000000" w:rsidR="00000000" w:rsidRPr="00000000">
          <w:rPr>
            <w:rFonts w:ascii="Helvetica Neue" w:cs="Helvetica Neue" w:eastAsia="Helvetica Neue" w:hAnsi="Helvetica Neue"/>
            <w:b w:val="1"/>
            <w:color w:val="1155cc"/>
            <w:sz w:val="24"/>
            <w:szCs w:val="24"/>
            <w:u w:val="single"/>
            <w:rtl w:val="0"/>
          </w:rPr>
          <w:t xml:space="preserve">www.wildixpartner.com/de</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28">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highlight w:val="white"/>
        </w:rPr>
      </w:pPr>
      <w:r w:rsidDel="00000000" w:rsidR="00000000" w:rsidRPr="00000000">
        <w:rPr>
          <w:rFonts w:ascii="Helvetica Neue" w:cs="Helvetica Neue" w:eastAsia="Helvetica Neue" w:hAnsi="Helvetica Neue"/>
          <w:b w:val="1"/>
          <w:sz w:val="24"/>
          <w:szCs w:val="24"/>
          <w:rtl w:val="0"/>
        </w:rPr>
        <w:t xml:space="preserve">Über Wildix</w:t>
      </w: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2D">
      <w:pPr>
        <w:spacing w:after="200" w:lineRule="auto"/>
        <w:ind w:right="72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Wildix ist die erste Unified Communications Lösung, die zu 100% vertriebsorientiert ist.</w:t>
      </w:r>
    </w:p>
    <w:p w:rsidR="00000000" w:rsidDel="00000000" w:rsidP="00000000" w:rsidRDefault="00000000" w:rsidRPr="00000000" w14:paraId="0000002E">
      <w:pPr>
        <w:spacing w:after="24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Das Unternehmen wurde 2005 von den Osler-Brüdern gegründet, zwei jungen Unternehmern mit einem fundierten Hintergrundwissen in Informationstechnologie und Ingenieurwesen.</w:t>
      </w:r>
    </w:p>
    <w:p w:rsidR="00000000" w:rsidDel="00000000" w:rsidP="00000000" w:rsidRDefault="00000000" w:rsidRPr="00000000" w14:paraId="0000002F">
      <w:pPr>
        <w:spacing w:after="24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Wildix unterstützt das Wachstum von Unternehmenskunden mit seinen 100% sicheren Lösungen, welche die neuesten Technologien nutzen, um alle Schritte der Customer Journey umfassend zu optimieren. Über eine Millionen aktive Nutzer vertrauen weltweit auf die Kommunikationslösung von Wildix. Tausende von Unternehmern in über 135 Ländern verzeichneten signifikante Kosteneinsparungen, schlankere Geschäftsprozesse und den Zugriff auf neue Business Tools, die einen positiven ROI garantieren.</w:t>
      </w:r>
    </w:p>
    <w:p w:rsidR="00000000" w:rsidDel="00000000" w:rsidP="00000000" w:rsidRDefault="00000000" w:rsidRPr="00000000" w14:paraId="00000030">
      <w:pPr>
        <w:spacing w:after="200" w:lineRule="auto"/>
        <w:ind w:right="72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i w:val="1"/>
          <w:sz w:val="24"/>
          <w:szCs w:val="24"/>
          <w:highlight w:val="white"/>
          <w:rtl w:val="0"/>
        </w:rPr>
        <w:t xml:space="preserve">Für weiterführende Informationen: </w:t>
      </w:r>
      <w:hyperlink r:id="rId9">
        <w:r w:rsidDel="00000000" w:rsidR="00000000" w:rsidRPr="00000000">
          <w:rPr>
            <w:rFonts w:ascii="Helvetica Neue" w:cs="Helvetica Neue" w:eastAsia="Helvetica Neue" w:hAnsi="Helvetica Neue"/>
            <w:b w:val="1"/>
            <w:sz w:val="24"/>
            <w:szCs w:val="24"/>
            <w:highlight w:val="white"/>
            <w:u w:val="single"/>
            <w:rtl w:val="0"/>
          </w:rPr>
          <w:t xml:space="preserve">Web</w:t>
        </w:r>
      </w:hyperlink>
      <w:r w:rsidDel="00000000" w:rsidR="00000000" w:rsidRPr="00000000">
        <w:rPr>
          <w:rFonts w:ascii="Helvetica Neue" w:cs="Helvetica Neue" w:eastAsia="Helvetica Neue" w:hAnsi="Helvetica Neue"/>
          <w:b w:val="1"/>
          <w:sz w:val="24"/>
          <w:szCs w:val="24"/>
          <w:highlight w:val="white"/>
          <w:u w:val="single"/>
          <w:rtl w:val="0"/>
        </w:rPr>
        <w:t xml:space="preserve">,</w:t>
      </w:r>
      <w:r w:rsidDel="00000000" w:rsidR="00000000" w:rsidRPr="00000000">
        <w:rPr>
          <w:rFonts w:ascii="Helvetica Neue" w:cs="Helvetica Neue" w:eastAsia="Helvetica Neue" w:hAnsi="Helvetica Neue"/>
          <w:b w:val="1"/>
          <w:sz w:val="24"/>
          <w:szCs w:val="24"/>
          <w:highlight w:val="white"/>
          <w:rtl w:val="0"/>
        </w:rPr>
        <w:t xml:space="preserve"> </w:t>
      </w:r>
      <w:hyperlink r:id="rId10">
        <w:r w:rsidDel="00000000" w:rsidR="00000000" w:rsidRPr="00000000">
          <w:rPr>
            <w:rFonts w:ascii="Helvetica Neue" w:cs="Helvetica Neue" w:eastAsia="Helvetica Neue" w:hAnsi="Helvetica Neue"/>
            <w:b w:val="1"/>
            <w:sz w:val="24"/>
            <w:szCs w:val="24"/>
            <w:highlight w:val="white"/>
            <w:u w:val="single"/>
            <w:rtl w:val="0"/>
          </w:rPr>
          <w:t xml:space="preserve">Twitter</w:t>
        </w:r>
      </w:hyperlink>
      <w:r w:rsidDel="00000000" w:rsidR="00000000" w:rsidRPr="00000000">
        <w:rPr>
          <w:rFonts w:ascii="Helvetica Neue" w:cs="Helvetica Neue" w:eastAsia="Helvetica Neue" w:hAnsi="Helvetica Neue"/>
          <w:b w:val="1"/>
          <w:sz w:val="24"/>
          <w:szCs w:val="24"/>
          <w:highlight w:val="white"/>
          <w:rtl w:val="0"/>
        </w:rPr>
        <w:t xml:space="preserve">, </w:t>
      </w:r>
      <w:hyperlink r:id="rId11">
        <w:r w:rsidDel="00000000" w:rsidR="00000000" w:rsidRPr="00000000">
          <w:rPr>
            <w:rFonts w:ascii="Helvetica Neue" w:cs="Helvetica Neue" w:eastAsia="Helvetica Neue" w:hAnsi="Helvetica Neue"/>
            <w:b w:val="1"/>
            <w:sz w:val="24"/>
            <w:szCs w:val="24"/>
            <w:highlight w:val="white"/>
            <w:u w:val="single"/>
            <w:rtl w:val="0"/>
          </w:rPr>
          <w:t xml:space="preserve">LinkedIn</w:t>
        </w:r>
      </w:hyperlink>
      <w:r w:rsidDel="00000000" w:rsidR="00000000" w:rsidRPr="00000000">
        <w:rPr>
          <w:rFonts w:ascii="Helvetica Neue" w:cs="Helvetica Neue" w:eastAsia="Helvetica Neue" w:hAnsi="Helvetica Neue"/>
          <w:b w:val="1"/>
          <w:sz w:val="24"/>
          <w:szCs w:val="24"/>
          <w:highlight w:val="white"/>
          <w:rtl w:val="0"/>
        </w:rPr>
        <w:t xml:space="preserve">, </w:t>
      </w:r>
      <w:hyperlink r:id="rId12">
        <w:r w:rsidDel="00000000" w:rsidR="00000000" w:rsidRPr="00000000">
          <w:rPr>
            <w:rFonts w:ascii="Helvetica Neue" w:cs="Helvetica Neue" w:eastAsia="Helvetica Neue" w:hAnsi="Helvetica Neue"/>
            <w:b w:val="1"/>
            <w:sz w:val="24"/>
            <w:szCs w:val="24"/>
            <w:highlight w:val="white"/>
            <w:u w:val="single"/>
            <w:rtl w:val="0"/>
          </w:rPr>
          <w:t xml:space="preserve">Facebook</w:t>
        </w:r>
      </w:hyperlink>
      <w:r w:rsidDel="00000000" w:rsidR="00000000" w:rsidRPr="00000000">
        <w:rPr>
          <w:rtl w:val="0"/>
        </w:rPr>
      </w:r>
    </w:p>
    <w:p w:rsidR="00000000" w:rsidDel="00000000" w:rsidP="00000000" w:rsidRDefault="00000000" w:rsidRPr="00000000" w14:paraId="00000031">
      <w:pPr>
        <w:ind w:right="720"/>
        <w:jc w:val="both"/>
        <w:rPr>
          <w:rFonts w:ascii="Helvetica Neue" w:cs="Helvetica Neue" w:eastAsia="Helvetica Neue" w:hAnsi="Helvetica Neue"/>
          <w:color w:val="434343"/>
          <w:sz w:val="24"/>
          <w:szCs w:val="24"/>
        </w:rPr>
      </w:pPr>
      <w:r w:rsidDel="00000000" w:rsidR="00000000" w:rsidRPr="00000000">
        <w:rPr>
          <w:rFonts w:ascii="Helvetica Neue" w:cs="Helvetica Neue" w:eastAsia="Helvetica Neue" w:hAnsi="Helvetica Neue"/>
          <w:b w:val="1"/>
          <w:color w:val="434343"/>
          <w:sz w:val="24"/>
          <w:szCs w:val="24"/>
          <w:highlight w:val="white"/>
          <w:rtl w:val="0"/>
        </w:rPr>
        <w:t xml:space="preserve">Pressekontakt</w:t>
      </w:r>
      <w:r w:rsidDel="00000000" w:rsidR="00000000" w:rsidRPr="00000000">
        <w:rPr>
          <w:rtl w:val="0"/>
        </w:rPr>
      </w:r>
    </w:p>
    <w:p w:rsidR="00000000" w:rsidDel="00000000" w:rsidP="00000000" w:rsidRDefault="00000000" w:rsidRPr="00000000" w14:paraId="00000032">
      <w:pPr>
        <w:ind w:right="72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434343"/>
          <w:rtl w:val="0"/>
        </w:rPr>
        <w:t xml:space="preserve">Sylvia Hölzl, Wildix Marketing | sylvia.hoelzl@wildix.com |  +49 89 2000 60 654</w:t>
      </w: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rPr>
      </w:pPr>
      <w:r w:rsidDel="00000000" w:rsidR="00000000" w:rsidRPr="00000000">
        <w:rPr>
          <w:rtl w:val="0"/>
        </w:rPr>
      </w:r>
    </w:p>
    <w:sectPr>
      <w:headerReference r:id="rId13" w:type="default"/>
      <w:footerReference r:id="rId14" w:type="default"/>
      <w:pgSz w:h="16834" w:w="11909" w:orient="portrait"/>
      <w:pgMar w:bottom="576"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4405313</wp:posOffset>
          </wp:positionH>
          <wp:positionV relativeFrom="paragraph">
            <wp:posOffset>-128933</wp:posOffset>
          </wp:positionV>
          <wp:extent cx="1328738" cy="395635"/>
          <wp:effectExtent b="0" l="0" r="0" t="0"/>
          <wp:wrapNone/>
          <wp:docPr id="11" name="image1.jpg"/>
          <a:graphic>
            <a:graphicData uri="http://schemas.openxmlformats.org/drawingml/2006/picture">
              <pic:pic>
                <pic:nvPicPr>
                  <pic:cNvPr id="0" name="image1.jpg"/>
                  <pic:cNvPicPr preferRelativeResize="0"/>
                </pic:nvPicPr>
                <pic:blipFill>
                  <a:blip r:embed="rId1"/>
                  <a:srcRect b="-6219" l="0" r="0" t="0"/>
                  <a:stretch>
                    <a:fillRect/>
                  </a:stretch>
                </pic:blipFill>
                <pic:spPr>
                  <a:xfrm>
                    <a:off x="0" y="0"/>
                    <a:ext cx="1328738" cy="395635"/>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1440" w:right="-144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wildix-srl" TargetMode="External"/><Relationship Id="rId10" Type="http://schemas.openxmlformats.org/officeDocument/2006/relationships/hyperlink" Target="https://twitter.com/wildix_" TargetMode="External"/><Relationship Id="rId13" Type="http://schemas.openxmlformats.org/officeDocument/2006/relationships/header" Target="header1.xml"/><Relationship Id="rId12" Type="http://schemas.openxmlformats.org/officeDocument/2006/relationships/hyperlink" Target="https://www.facebook.com/wildix.pb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ldix.com/d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wildixpartner.com/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vPU+hsk1SfXrSsJSJdlbMTn+w==">AMUW2mXKJAaAVQql4bFizcfJEhM3c6F9T826/C44sDr6WfglTRDt52jhzDF+Zby+SuLM+OIZEOeUIRnnEUzWl78w77pznR3KzvyNOCXaqmXSTkhwz8Rb8tPVMxMeDKR4mppt/pMxMQZuX9ov/HyUovFXkIANxCLHbCsMubt0fQQCrda6sM2HGHNNMVyOzJ3pBo+I6l9St0jOq3Z+NJtnOinmyys6c9Lgko1LSHL9lQGbhPrMGcVkyDo=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